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2B174" w14:textId="1FCF1376" w:rsidR="00C83531" w:rsidRDefault="00C83531">
      <w:pPr>
        <w:rPr>
          <w:rFonts w:cs="Arial"/>
          <w:sz w:val="20"/>
          <w:szCs w:val="20"/>
        </w:rPr>
      </w:pPr>
    </w:p>
    <w:tbl>
      <w:tblPr>
        <w:tblStyle w:val="Tabel-Gitter"/>
        <w:tblW w:w="1059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75"/>
        <w:gridCol w:w="1276"/>
        <w:gridCol w:w="5245"/>
        <w:gridCol w:w="3402"/>
      </w:tblGrid>
      <w:tr w:rsidR="00380746" w:rsidRPr="005B4A7B" w14:paraId="0602B187" w14:textId="77777777" w:rsidTr="00C83531">
        <w:trPr>
          <w:trHeight w:val="397"/>
        </w:trPr>
        <w:tc>
          <w:tcPr>
            <w:tcW w:w="675" w:type="dxa"/>
            <w:vAlign w:val="center"/>
          </w:tcPr>
          <w:p w14:paraId="0602B180" w14:textId="77777777" w:rsidR="00380746" w:rsidRPr="005B4A7B" w:rsidRDefault="00380746" w:rsidP="002B238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0602B181" w14:textId="21B793CB" w:rsidR="00380746" w:rsidRPr="005B4A7B" w:rsidRDefault="00380746" w:rsidP="002B238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Kap. 1</w:t>
            </w:r>
          </w:p>
        </w:tc>
        <w:tc>
          <w:tcPr>
            <w:tcW w:w="5245" w:type="dxa"/>
            <w:vAlign w:val="center"/>
          </w:tcPr>
          <w:p w14:paraId="0602B182" w14:textId="77777777" w:rsidR="00380746" w:rsidRPr="00380746" w:rsidRDefault="00380746" w:rsidP="00E061B5">
            <w:pPr>
              <w:ind w:left="34"/>
              <w:rPr>
                <w:rFonts w:cs="Arial"/>
                <w:sz w:val="18"/>
                <w:szCs w:val="18"/>
              </w:rPr>
            </w:pPr>
            <w:r w:rsidRPr="00380746">
              <w:rPr>
                <w:rFonts w:cs="Arial"/>
                <w:sz w:val="18"/>
                <w:szCs w:val="18"/>
              </w:rPr>
              <w:t xml:space="preserve">Foreligger der en: </w:t>
            </w:r>
          </w:p>
          <w:p w14:paraId="0602B183" w14:textId="63C6CD43" w:rsidR="00380746" w:rsidRPr="00380746" w:rsidRDefault="00380746" w:rsidP="00E061B5">
            <w:pPr>
              <w:ind w:left="34"/>
              <w:rPr>
                <w:rFonts w:cs="Arial"/>
                <w:sz w:val="18"/>
                <w:szCs w:val="18"/>
              </w:rPr>
            </w:pPr>
            <w:r w:rsidRPr="00380746">
              <w:rPr>
                <w:rFonts w:cs="Arial"/>
                <w:sz w:val="18"/>
                <w:szCs w:val="18"/>
              </w:rPr>
              <w:t>Bygge</w:t>
            </w:r>
            <w:r w:rsidR="002B238F">
              <w:rPr>
                <w:rFonts w:cs="Arial"/>
                <w:sz w:val="18"/>
                <w:szCs w:val="18"/>
              </w:rPr>
              <w:t>tilladelse iht. BR 10, kap. 1.4</w:t>
            </w:r>
          </w:p>
          <w:p w14:paraId="0602B184" w14:textId="68EE70E5" w:rsidR="00380746" w:rsidRPr="00380746" w:rsidRDefault="002B238F" w:rsidP="00E061B5">
            <w:pPr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Anmeldelse iht. BR 10, kap. 1.5</w:t>
            </w:r>
          </w:p>
          <w:p w14:paraId="0602B185" w14:textId="7A891C94" w:rsidR="00380746" w:rsidRPr="00380746" w:rsidRDefault="00380746" w:rsidP="00E061B5">
            <w:pPr>
              <w:ind w:left="34"/>
              <w:rPr>
                <w:rFonts w:cs="Arial"/>
                <w:sz w:val="18"/>
                <w:szCs w:val="18"/>
              </w:rPr>
            </w:pPr>
            <w:r w:rsidRPr="00380746">
              <w:rPr>
                <w:rFonts w:cs="Arial"/>
                <w:sz w:val="18"/>
                <w:szCs w:val="18"/>
              </w:rPr>
              <w:t>Skal byggeriet udføres uden byggetilladelse ell</w:t>
            </w:r>
            <w:r w:rsidR="002B238F">
              <w:rPr>
                <w:rFonts w:cs="Arial"/>
                <w:sz w:val="18"/>
                <w:szCs w:val="18"/>
              </w:rPr>
              <w:t>er anmeldes iht. BR 10, kap. 1.6</w:t>
            </w:r>
          </w:p>
        </w:tc>
        <w:tc>
          <w:tcPr>
            <w:tcW w:w="3402" w:type="dxa"/>
            <w:vAlign w:val="center"/>
          </w:tcPr>
          <w:p w14:paraId="0602B186" w14:textId="77777777" w:rsidR="00380746" w:rsidRPr="005B4A7B" w:rsidRDefault="00380746" w:rsidP="00E061B5">
            <w:pPr>
              <w:ind w:left="34"/>
              <w:rPr>
                <w:rFonts w:cs="Arial"/>
                <w:sz w:val="18"/>
                <w:szCs w:val="18"/>
              </w:rPr>
            </w:pPr>
          </w:p>
        </w:tc>
      </w:tr>
      <w:tr w:rsidR="00380746" w:rsidRPr="005B4A7B" w14:paraId="0602B18C" w14:textId="77777777" w:rsidTr="002B238F">
        <w:trPr>
          <w:trHeight w:val="397"/>
        </w:trPr>
        <w:tc>
          <w:tcPr>
            <w:tcW w:w="675" w:type="dxa"/>
            <w:vAlign w:val="center"/>
          </w:tcPr>
          <w:p w14:paraId="0602B188" w14:textId="77777777" w:rsidR="00380746" w:rsidRPr="005B4A7B" w:rsidRDefault="00380746" w:rsidP="002B238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0602B189" w14:textId="77777777" w:rsidR="00380746" w:rsidRPr="005B4A7B" w:rsidRDefault="00380746" w:rsidP="005B38C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0602B18A" w14:textId="4D6E0387" w:rsidR="00380746" w:rsidRPr="00380746" w:rsidRDefault="00380746" w:rsidP="00815131">
            <w:pPr>
              <w:ind w:left="34"/>
              <w:rPr>
                <w:rFonts w:cs="Arial"/>
                <w:sz w:val="18"/>
                <w:szCs w:val="18"/>
              </w:rPr>
            </w:pPr>
            <w:r w:rsidRPr="00380746">
              <w:rPr>
                <w:rFonts w:cs="Arial"/>
                <w:sz w:val="18"/>
                <w:szCs w:val="18"/>
              </w:rPr>
              <w:t>Foreligger der krav om, jf. BR</w:t>
            </w:r>
            <w:r w:rsidR="002B238F">
              <w:rPr>
                <w:rFonts w:cs="Arial"/>
                <w:sz w:val="18"/>
                <w:szCs w:val="18"/>
              </w:rPr>
              <w:t xml:space="preserve"> </w:t>
            </w:r>
            <w:r w:rsidRPr="00380746">
              <w:rPr>
                <w:rFonts w:cs="Arial"/>
                <w:sz w:val="18"/>
                <w:szCs w:val="18"/>
              </w:rPr>
              <w:t>10</w:t>
            </w:r>
            <w:r w:rsidR="002B238F">
              <w:rPr>
                <w:rFonts w:cs="Arial"/>
                <w:sz w:val="18"/>
                <w:szCs w:val="18"/>
              </w:rPr>
              <w:t>,</w:t>
            </w:r>
            <w:r w:rsidRPr="00380746">
              <w:rPr>
                <w:rFonts w:cs="Arial"/>
                <w:sz w:val="18"/>
                <w:szCs w:val="18"/>
              </w:rPr>
              <w:t xml:space="preserve"> kap. 1.4 stk. 2, at der skal foretages en måling eller leveres anden form for dokumentation fra en fugtsagkyndig, der efterviser opfyldelse af kravet i BR 10</w:t>
            </w:r>
            <w:r w:rsidR="00386EA4">
              <w:rPr>
                <w:rFonts w:cs="Arial"/>
                <w:sz w:val="18"/>
                <w:szCs w:val="18"/>
              </w:rPr>
              <w:t>,</w:t>
            </w:r>
            <w:r w:rsidRPr="00380746">
              <w:rPr>
                <w:rFonts w:cs="Arial"/>
                <w:sz w:val="18"/>
                <w:szCs w:val="18"/>
              </w:rPr>
              <w:t xml:space="preserve"> kap. 4.1, stk. 6 om kritisk fugtindhold i konstruktioner og materialer </w:t>
            </w:r>
          </w:p>
        </w:tc>
        <w:tc>
          <w:tcPr>
            <w:tcW w:w="3402" w:type="dxa"/>
            <w:vAlign w:val="center"/>
          </w:tcPr>
          <w:p w14:paraId="0602B18B" w14:textId="77777777" w:rsidR="00380746" w:rsidRPr="005B4A7B" w:rsidRDefault="00380746" w:rsidP="002B238F">
            <w:pPr>
              <w:ind w:left="34"/>
              <w:rPr>
                <w:rFonts w:cs="Arial"/>
                <w:sz w:val="18"/>
                <w:szCs w:val="18"/>
              </w:rPr>
            </w:pPr>
          </w:p>
        </w:tc>
      </w:tr>
      <w:tr w:rsidR="00380746" w:rsidRPr="005B4A7B" w14:paraId="0602B191" w14:textId="77777777" w:rsidTr="00C83531">
        <w:trPr>
          <w:trHeight w:val="397"/>
        </w:trPr>
        <w:tc>
          <w:tcPr>
            <w:tcW w:w="675" w:type="dxa"/>
            <w:vAlign w:val="center"/>
          </w:tcPr>
          <w:p w14:paraId="0602B18D" w14:textId="77777777" w:rsidR="00380746" w:rsidRPr="005B4A7B" w:rsidRDefault="00380746" w:rsidP="002B238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0602B18E" w14:textId="18F951AE" w:rsidR="00380746" w:rsidRPr="005B4A7B" w:rsidRDefault="002B238F" w:rsidP="005B38C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Kap. 2</w:t>
            </w:r>
          </w:p>
        </w:tc>
        <w:tc>
          <w:tcPr>
            <w:tcW w:w="5245" w:type="dxa"/>
            <w:vAlign w:val="center"/>
          </w:tcPr>
          <w:p w14:paraId="0602B18F" w14:textId="108A2597" w:rsidR="00380746" w:rsidRPr="00380746" w:rsidRDefault="00380746" w:rsidP="002B238F">
            <w:pPr>
              <w:spacing w:before="100" w:beforeAutospacing="1" w:after="100" w:afterAutospacing="1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380746">
              <w:rPr>
                <w:rFonts w:cs="Arial"/>
                <w:sz w:val="18"/>
                <w:szCs w:val="18"/>
              </w:rPr>
              <w:t>Er der gjort rede for højde</w:t>
            </w:r>
            <w:r w:rsidR="00386EA4">
              <w:rPr>
                <w:rFonts w:cs="Arial"/>
                <w:sz w:val="18"/>
                <w:szCs w:val="18"/>
              </w:rPr>
              <w:t>-</w:t>
            </w:r>
            <w:r w:rsidRPr="00380746">
              <w:rPr>
                <w:rFonts w:cs="Arial"/>
                <w:sz w:val="18"/>
                <w:szCs w:val="18"/>
              </w:rPr>
              <w:t xml:space="preserve"> og afstandskrav i projektet iht. BR 10</w:t>
            </w:r>
            <w:r w:rsidR="002B238F">
              <w:rPr>
                <w:rFonts w:cs="Arial"/>
                <w:sz w:val="18"/>
                <w:szCs w:val="18"/>
              </w:rPr>
              <w:t>,</w:t>
            </w:r>
            <w:r w:rsidRPr="00380746">
              <w:rPr>
                <w:rFonts w:cs="Arial"/>
                <w:sz w:val="18"/>
                <w:szCs w:val="18"/>
              </w:rPr>
              <w:t xml:space="preserve"> kap. 2 med tilhørende brandkrav</w:t>
            </w:r>
            <w:r w:rsidR="002B238F">
              <w:rPr>
                <w:rFonts w:cs="Arial"/>
                <w:sz w:val="18"/>
                <w:szCs w:val="18"/>
              </w:rPr>
              <w:t>,</w:t>
            </w:r>
            <w:r w:rsidRPr="00380746">
              <w:rPr>
                <w:rFonts w:cs="Arial"/>
                <w:sz w:val="18"/>
                <w:szCs w:val="18"/>
              </w:rPr>
              <w:t xml:space="preserve"> jf. </w:t>
            </w:r>
            <w:r w:rsidR="002B238F">
              <w:rPr>
                <w:rFonts w:cs="Arial"/>
                <w:sz w:val="18"/>
                <w:szCs w:val="18"/>
              </w:rPr>
              <w:t>k</w:t>
            </w:r>
            <w:r w:rsidRPr="00380746">
              <w:rPr>
                <w:rFonts w:cs="Arial"/>
                <w:sz w:val="18"/>
                <w:szCs w:val="18"/>
              </w:rPr>
              <w:t xml:space="preserve">ap. 5. og </w:t>
            </w:r>
            <w:r w:rsidRPr="00380746">
              <w:rPr>
                <w:rFonts w:eastAsia="Times New Roman" w:cs="Arial"/>
                <w:bCs/>
                <w:color w:val="000000"/>
                <w:sz w:val="18"/>
                <w:szCs w:val="18"/>
                <w:lang w:eastAsia="da-DK"/>
              </w:rPr>
              <w:t>Vejledning om brandsikring af enfamiliehuse eller Eksempelsamling om brandsikring af byggeri</w:t>
            </w:r>
          </w:p>
        </w:tc>
        <w:tc>
          <w:tcPr>
            <w:tcW w:w="3402" w:type="dxa"/>
            <w:vAlign w:val="center"/>
          </w:tcPr>
          <w:p w14:paraId="0602B190" w14:textId="77777777" w:rsidR="00380746" w:rsidRPr="005B4A7B" w:rsidRDefault="00380746" w:rsidP="00E061B5">
            <w:pPr>
              <w:ind w:left="34"/>
              <w:rPr>
                <w:rFonts w:cs="Arial"/>
                <w:sz w:val="18"/>
                <w:szCs w:val="18"/>
              </w:rPr>
            </w:pPr>
          </w:p>
        </w:tc>
      </w:tr>
      <w:tr w:rsidR="00380746" w:rsidRPr="005B4A7B" w14:paraId="0602B196" w14:textId="77777777" w:rsidTr="00C83531">
        <w:trPr>
          <w:trHeight w:val="397"/>
        </w:trPr>
        <w:tc>
          <w:tcPr>
            <w:tcW w:w="675" w:type="dxa"/>
            <w:vAlign w:val="center"/>
          </w:tcPr>
          <w:p w14:paraId="0602B192" w14:textId="77777777" w:rsidR="00380746" w:rsidRPr="005B4A7B" w:rsidRDefault="00380746" w:rsidP="002B238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14:paraId="0602B193" w14:textId="2FBF38AC" w:rsidR="00380746" w:rsidRPr="005B4A7B" w:rsidRDefault="00380746" w:rsidP="002B238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Kap. 3</w:t>
            </w:r>
          </w:p>
        </w:tc>
        <w:tc>
          <w:tcPr>
            <w:tcW w:w="5245" w:type="dxa"/>
            <w:vAlign w:val="center"/>
          </w:tcPr>
          <w:p w14:paraId="0602B194" w14:textId="4B91E321" w:rsidR="00380746" w:rsidRPr="00380746" w:rsidRDefault="00380746" w:rsidP="00815131">
            <w:pPr>
              <w:ind w:left="34"/>
              <w:rPr>
                <w:rFonts w:cs="Arial"/>
                <w:sz w:val="18"/>
                <w:szCs w:val="18"/>
              </w:rPr>
            </w:pPr>
            <w:r w:rsidRPr="00380746">
              <w:rPr>
                <w:rFonts w:cs="Arial"/>
                <w:sz w:val="18"/>
                <w:szCs w:val="18"/>
              </w:rPr>
              <w:t>Foreligger der i projektet en handlingsplan for sikring af fugtforhold under byggeprocessen iht. BR 1</w:t>
            </w:r>
            <w:r w:rsidR="002B238F">
              <w:rPr>
                <w:rFonts w:cs="Arial"/>
                <w:sz w:val="18"/>
                <w:szCs w:val="18"/>
              </w:rPr>
              <w:t>0, kap. 4.1, stk. 5 og kap. 4.1, stk. 6</w:t>
            </w:r>
          </w:p>
        </w:tc>
        <w:tc>
          <w:tcPr>
            <w:tcW w:w="3402" w:type="dxa"/>
            <w:vAlign w:val="center"/>
          </w:tcPr>
          <w:p w14:paraId="0602B195" w14:textId="77777777" w:rsidR="00380746" w:rsidRPr="005B4A7B" w:rsidRDefault="00380746" w:rsidP="00E061B5">
            <w:pPr>
              <w:ind w:left="34"/>
              <w:rPr>
                <w:rFonts w:cs="Arial"/>
                <w:sz w:val="18"/>
                <w:szCs w:val="18"/>
              </w:rPr>
            </w:pPr>
          </w:p>
        </w:tc>
      </w:tr>
      <w:tr w:rsidR="00380746" w:rsidRPr="005B4A7B" w14:paraId="0602B19B" w14:textId="77777777" w:rsidTr="00C83531">
        <w:trPr>
          <w:trHeight w:val="397"/>
        </w:trPr>
        <w:tc>
          <w:tcPr>
            <w:tcW w:w="675" w:type="dxa"/>
            <w:vAlign w:val="center"/>
          </w:tcPr>
          <w:p w14:paraId="0602B197" w14:textId="77777777" w:rsidR="00380746" w:rsidRPr="005B4A7B" w:rsidRDefault="00380746" w:rsidP="002B238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14:paraId="0602B198" w14:textId="55EDE002" w:rsidR="00380746" w:rsidRPr="005B4A7B" w:rsidRDefault="00380746" w:rsidP="002B238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Kap. 4</w:t>
            </w:r>
          </w:p>
        </w:tc>
        <w:tc>
          <w:tcPr>
            <w:tcW w:w="5245" w:type="dxa"/>
            <w:vAlign w:val="center"/>
          </w:tcPr>
          <w:p w14:paraId="0602B199" w14:textId="457EC5A9" w:rsidR="00380746" w:rsidRPr="00380746" w:rsidRDefault="00380746" w:rsidP="00815131">
            <w:pPr>
              <w:ind w:left="34"/>
              <w:rPr>
                <w:rFonts w:cs="Arial"/>
                <w:sz w:val="18"/>
                <w:szCs w:val="18"/>
              </w:rPr>
            </w:pPr>
            <w:r w:rsidRPr="00380746">
              <w:rPr>
                <w:rFonts w:cs="Arial"/>
                <w:sz w:val="18"/>
                <w:szCs w:val="18"/>
              </w:rPr>
              <w:t>Indeholder projektet tegninger og beregninger over konstruktioner og stabilitet for det samlede byggeri iht. BR 10</w:t>
            </w:r>
            <w:r w:rsidR="00C27ED1">
              <w:rPr>
                <w:rFonts w:cs="Arial"/>
                <w:sz w:val="18"/>
                <w:szCs w:val="18"/>
              </w:rPr>
              <w:t>, kap. 4.2</w:t>
            </w:r>
          </w:p>
        </w:tc>
        <w:tc>
          <w:tcPr>
            <w:tcW w:w="3402" w:type="dxa"/>
            <w:vAlign w:val="center"/>
          </w:tcPr>
          <w:p w14:paraId="0602B19A" w14:textId="77777777" w:rsidR="00380746" w:rsidRPr="005B4A7B" w:rsidRDefault="00380746" w:rsidP="00E061B5">
            <w:pPr>
              <w:ind w:left="34"/>
              <w:rPr>
                <w:rFonts w:cs="Arial"/>
                <w:sz w:val="18"/>
                <w:szCs w:val="18"/>
              </w:rPr>
            </w:pPr>
          </w:p>
        </w:tc>
      </w:tr>
      <w:tr w:rsidR="00380746" w:rsidRPr="005B4A7B" w14:paraId="0602B1A1" w14:textId="77777777" w:rsidTr="00C83531">
        <w:trPr>
          <w:trHeight w:val="397"/>
        </w:trPr>
        <w:tc>
          <w:tcPr>
            <w:tcW w:w="675" w:type="dxa"/>
            <w:vAlign w:val="center"/>
          </w:tcPr>
          <w:p w14:paraId="0602B19C" w14:textId="77777777" w:rsidR="00380746" w:rsidRPr="005B4A7B" w:rsidRDefault="00380746" w:rsidP="002B238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14:paraId="0602B19D" w14:textId="77777777" w:rsidR="00380746" w:rsidRPr="005B4A7B" w:rsidRDefault="00380746" w:rsidP="005B38C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0602B19E" w14:textId="77777777" w:rsidR="00380746" w:rsidRPr="00380746" w:rsidRDefault="00380746" w:rsidP="00815131">
            <w:pPr>
              <w:ind w:left="34"/>
              <w:rPr>
                <w:rFonts w:cs="Arial"/>
                <w:sz w:val="18"/>
                <w:szCs w:val="18"/>
              </w:rPr>
            </w:pPr>
            <w:r w:rsidRPr="00380746">
              <w:rPr>
                <w:rFonts w:cs="Arial"/>
                <w:sz w:val="18"/>
                <w:szCs w:val="18"/>
              </w:rPr>
              <w:t xml:space="preserve">Er bygningen en fredet eller bevaringsværdig bygning? </w:t>
            </w:r>
          </w:p>
          <w:p w14:paraId="0602B19F" w14:textId="0B1BBEA7" w:rsidR="00380746" w:rsidRPr="00380746" w:rsidRDefault="00C27ED1" w:rsidP="00C27ED1">
            <w:pPr>
              <w:shd w:val="clear" w:color="auto" w:fill="FFFFFF"/>
              <w:rPr>
                <w:rFonts w:eastAsia="Times New Roman" w:cs="Arial"/>
                <w:color w:val="333333"/>
                <w:sz w:val="18"/>
                <w:szCs w:val="18"/>
                <w:lang w:eastAsia="da-DK"/>
              </w:rPr>
            </w:pPr>
            <w:r>
              <w:rPr>
                <w:rFonts w:cs="Arial"/>
                <w:sz w:val="18"/>
                <w:szCs w:val="18"/>
              </w:rPr>
              <w:t>H</w:t>
            </w:r>
            <w:r w:rsidR="00380746" w:rsidRPr="00380746">
              <w:rPr>
                <w:rFonts w:cs="Arial"/>
                <w:sz w:val="18"/>
                <w:szCs w:val="18"/>
              </w:rPr>
              <w:t>vis ja, foreligger der i projektet iht. BR 10</w:t>
            </w:r>
            <w:r>
              <w:rPr>
                <w:rFonts w:cs="Arial"/>
                <w:sz w:val="18"/>
                <w:szCs w:val="18"/>
              </w:rPr>
              <w:t>,</w:t>
            </w:r>
            <w:r w:rsidR="00380746" w:rsidRPr="00380746">
              <w:rPr>
                <w:rFonts w:cs="Arial"/>
                <w:sz w:val="18"/>
                <w:szCs w:val="18"/>
              </w:rPr>
              <w:t xml:space="preserve"> kap. 4.7</w:t>
            </w:r>
            <w:r>
              <w:rPr>
                <w:rFonts w:cs="Arial"/>
                <w:sz w:val="18"/>
                <w:szCs w:val="18"/>
              </w:rPr>
              <w:t>,</w:t>
            </w:r>
            <w:r w:rsidR="00380746" w:rsidRPr="00380746">
              <w:rPr>
                <w:rFonts w:cs="Arial"/>
                <w:sz w:val="18"/>
                <w:szCs w:val="18"/>
              </w:rPr>
              <w:t xml:space="preserve"> stk. 2 en plan for sikring mod brand i overensstemmelse med </w:t>
            </w:r>
            <w:r w:rsidR="00380746" w:rsidRPr="00380746">
              <w:rPr>
                <w:rFonts w:eastAsia="Times New Roman" w:cs="Arial"/>
                <w:color w:val="333333"/>
                <w:sz w:val="18"/>
                <w:szCs w:val="18"/>
                <w:lang w:eastAsia="da-DK"/>
              </w:rPr>
              <w:t>Bygge- og Boligstyrelsens cirkulære om instruks for brandværnsforanstaltninger under byggearbejder på fredede bygninger og Dansk Brandteknisk Instituts brandtekniske vejl</w:t>
            </w:r>
            <w:r>
              <w:rPr>
                <w:rFonts w:eastAsia="Times New Roman" w:cs="Arial"/>
                <w:color w:val="333333"/>
                <w:sz w:val="18"/>
                <w:szCs w:val="18"/>
                <w:lang w:eastAsia="da-DK"/>
              </w:rPr>
              <w:t>edning nr. 10, Varmt arbejde</w:t>
            </w:r>
          </w:p>
        </w:tc>
        <w:tc>
          <w:tcPr>
            <w:tcW w:w="3402" w:type="dxa"/>
            <w:vAlign w:val="center"/>
          </w:tcPr>
          <w:p w14:paraId="0602B1A0" w14:textId="77777777" w:rsidR="00380746" w:rsidRPr="005B4A7B" w:rsidRDefault="00380746" w:rsidP="00E061B5">
            <w:pPr>
              <w:ind w:left="34"/>
              <w:rPr>
                <w:rFonts w:cs="Arial"/>
                <w:sz w:val="18"/>
                <w:szCs w:val="18"/>
              </w:rPr>
            </w:pPr>
          </w:p>
        </w:tc>
      </w:tr>
      <w:tr w:rsidR="00380746" w:rsidRPr="005B4A7B" w14:paraId="0602B1A6" w14:textId="77777777" w:rsidTr="00C83531">
        <w:trPr>
          <w:trHeight w:val="397"/>
        </w:trPr>
        <w:tc>
          <w:tcPr>
            <w:tcW w:w="675" w:type="dxa"/>
            <w:vAlign w:val="center"/>
          </w:tcPr>
          <w:p w14:paraId="0602B1A2" w14:textId="77777777" w:rsidR="00380746" w:rsidRPr="005B4A7B" w:rsidRDefault="00380746" w:rsidP="002B238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14:paraId="0602B1A3" w14:textId="77777777" w:rsidR="00380746" w:rsidRPr="005B4A7B" w:rsidRDefault="00380746" w:rsidP="005B38C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Kap. 5</w:t>
            </w:r>
          </w:p>
        </w:tc>
        <w:tc>
          <w:tcPr>
            <w:tcW w:w="5245" w:type="dxa"/>
            <w:vAlign w:val="center"/>
          </w:tcPr>
          <w:p w14:paraId="0602B1A4" w14:textId="5A6A2CF5" w:rsidR="00380746" w:rsidRPr="00380746" w:rsidRDefault="00380746" w:rsidP="00C27ED1">
            <w:pPr>
              <w:ind w:left="34"/>
              <w:rPr>
                <w:rFonts w:cs="Arial"/>
                <w:sz w:val="18"/>
                <w:szCs w:val="18"/>
              </w:rPr>
            </w:pPr>
            <w:r w:rsidRPr="00380746">
              <w:rPr>
                <w:rFonts w:cs="Arial"/>
                <w:sz w:val="18"/>
                <w:szCs w:val="18"/>
              </w:rPr>
              <w:t>Er der redegjort for brandforhold i overensstemmelse med BR</w:t>
            </w:r>
            <w:r w:rsidR="00C27ED1">
              <w:rPr>
                <w:rFonts w:cs="Arial"/>
                <w:sz w:val="18"/>
                <w:szCs w:val="18"/>
              </w:rPr>
              <w:t xml:space="preserve"> </w:t>
            </w:r>
            <w:r w:rsidRPr="00380746">
              <w:rPr>
                <w:rFonts w:cs="Arial"/>
                <w:sz w:val="18"/>
                <w:szCs w:val="18"/>
              </w:rPr>
              <w:t>10</w:t>
            </w:r>
            <w:r w:rsidR="00C27ED1">
              <w:rPr>
                <w:rFonts w:cs="Arial"/>
                <w:sz w:val="18"/>
                <w:szCs w:val="18"/>
              </w:rPr>
              <w:t>,</w:t>
            </w:r>
            <w:r w:rsidRPr="00380746">
              <w:rPr>
                <w:rFonts w:cs="Arial"/>
                <w:sz w:val="18"/>
                <w:szCs w:val="18"/>
              </w:rPr>
              <w:t xml:space="preserve"> kap. 5, Brandforhold, og fremgår det af beskrivelse og tegninger hvilke konstruktionstyper og materialer der skal anvendes</w:t>
            </w:r>
          </w:p>
        </w:tc>
        <w:tc>
          <w:tcPr>
            <w:tcW w:w="3402" w:type="dxa"/>
            <w:vAlign w:val="center"/>
          </w:tcPr>
          <w:p w14:paraId="0602B1A5" w14:textId="77777777" w:rsidR="00380746" w:rsidRPr="005B4A7B" w:rsidRDefault="00380746" w:rsidP="00E061B5">
            <w:pPr>
              <w:ind w:left="34"/>
              <w:rPr>
                <w:rFonts w:cs="Arial"/>
                <w:sz w:val="18"/>
                <w:szCs w:val="18"/>
              </w:rPr>
            </w:pPr>
          </w:p>
        </w:tc>
      </w:tr>
      <w:tr w:rsidR="00380746" w:rsidRPr="005B4A7B" w14:paraId="0602B1AB" w14:textId="77777777" w:rsidTr="00C83531">
        <w:trPr>
          <w:trHeight w:val="397"/>
        </w:trPr>
        <w:tc>
          <w:tcPr>
            <w:tcW w:w="675" w:type="dxa"/>
            <w:vAlign w:val="center"/>
          </w:tcPr>
          <w:p w14:paraId="0602B1A7" w14:textId="77777777" w:rsidR="00380746" w:rsidRPr="005B4A7B" w:rsidRDefault="00380746" w:rsidP="002B238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14:paraId="0602B1A8" w14:textId="77777777" w:rsidR="00380746" w:rsidRPr="005B4A7B" w:rsidRDefault="00380746" w:rsidP="005B38C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Kap. 6</w:t>
            </w:r>
          </w:p>
        </w:tc>
        <w:tc>
          <w:tcPr>
            <w:tcW w:w="5245" w:type="dxa"/>
            <w:vAlign w:val="center"/>
          </w:tcPr>
          <w:p w14:paraId="0602B1A9" w14:textId="1ED0D9A4" w:rsidR="00380746" w:rsidRPr="00380746" w:rsidRDefault="00380746" w:rsidP="00815131">
            <w:pPr>
              <w:ind w:left="34"/>
              <w:rPr>
                <w:rFonts w:cs="Arial"/>
                <w:sz w:val="18"/>
                <w:szCs w:val="18"/>
              </w:rPr>
            </w:pPr>
            <w:r w:rsidRPr="00380746">
              <w:rPr>
                <w:rFonts w:cs="Arial"/>
                <w:sz w:val="18"/>
                <w:szCs w:val="18"/>
              </w:rPr>
              <w:t>Overholder de valgte byggematerialer kraven</w:t>
            </w:r>
            <w:r w:rsidR="00386EA4">
              <w:rPr>
                <w:rFonts w:cs="Arial"/>
                <w:sz w:val="18"/>
                <w:szCs w:val="18"/>
              </w:rPr>
              <w:t>e</w:t>
            </w:r>
            <w:r w:rsidRPr="00380746">
              <w:rPr>
                <w:rFonts w:cs="Arial"/>
                <w:sz w:val="18"/>
                <w:szCs w:val="18"/>
              </w:rPr>
              <w:t xml:space="preserve"> i BR</w:t>
            </w:r>
            <w:r w:rsidR="00C27ED1">
              <w:rPr>
                <w:rFonts w:cs="Arial"/>
                <w:sz w:val="18"/>
                <w:szCs w:val="18"/>
              </w:rPr>
              <w:t xml:space="preserve"> </w:t>
            </w:r>
            <w:r w:rsidRPr="00380746">
              <w:rPr>
                <w:rFonts w:cs="Arial"/>
                <w:sz w:val="18"/>
                <w:szCs w:val="18"/>
              </w:rPr>
              <w:t>10, kap. 6.3.2 om</w:t>
            </w:r>
            <w:r w:rsidR="00C27ED1">
              <w:rPr>
                <w:rFonts w:cs="Arial"/>
                <w:sz w:val="18"/>
                <w:szCs w:val="18"/>
              </w:rPr>
              <w:t xml:space="preserve"> Forurening fra byggematerialer</w:t>
            </w:r>
          </w:p>
        </w:tc>
        <w:tc>
          <w:tcPr>
            <w:tcW w:w="3402" w:type="dxa"/>
            <w:vAlign w:val="center"/>
          </w:tcPr>
          <w:p w14:paraId="0602B1AA" w14:textId="77777777" w:rsidR="00380746" w:rsidRPr="005B4A7B" w:rsidRDefault="00380746" w:rsidP="00E061B5">
            <w:pPr>
              <w:ind w:left="34"/>
              <w:rPr>
                <w:rFonts w:cs="Arial"/>
                <w:sz w:val="18"/>
                <w:szCs w:val="18"/>
              </w:rPr>
            </w:pPr>
          </w:p>
        </w:tc>
      </w:tr>
      <w:tr w:rsidR="00380746" w:rsidRPr="005B4A7B" w14:paraId="0602B1B0" w14:textId="77777777" w:rsidTr="00C83531">
        <w:trPr>
          <w:trHeight w:val="397"/>
        </w:trPr>
        <w:tc>
          <w:tcPr>
            <w:tcW w:w="675" w:type="dxa"/>
            <w:vAlign w:val="center"/>
          </w:tcPr>
          <w:p w14:paraId="0602B1AC" w14:textId="77777777" w:rsidR="00380746" w:rsidRPr="005B4A7B" w:rsidRDefault="00380746" w:rsidP="002B238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center"/>
          </w:tcPr>
          <w:p w14:paraId="0602B1AD" w14:textId="77777777" w:rsidR="00380746" w:rsidRPr="005B4A7B" w:rsidRDefault="00380746" w:rsidP="005B38C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Kap. 7</w:t>
            </w:r>
          </w:p>
        </w:tc>
        <w:tc>
          <w:tcPr>
            <w:tcW w:w="5245" w:type="dxa"/>
            <w:vAlign w:val="center"/>
          </w:tcPr>
          <w:p w14:paraId="0602B1AE" w14:textId="67967F5F" w:rsidR="00380746" w:rsidRPr="00380746" w:rsidRDefault="00380746" w:rsidP="00C27ED1">
            <w:pPr>
              <w:ind w:left="34"/>
              <w:rPr>
                <w:rFonts w:cs="Arial"/>
                <w:sz w:val="18"/>
                <w:szCs w:val="18"/>
              </w:rPr>
            </w:pPr>
            <w:r w:rsidRPr="00380746">
              <w:rPr>
                <w:rFonts w:cs="Arial"/>
                <w:sz w:val="18"/>
                <w:szCs w:val="18"/>
              </w:rPr>
              <w:t>Er det er nyt byggeri – hvilke energimæssige krav iht. BR 10</w:t>
            </w:r>
            <w:r w:rsidR="00C27ED1">
              <w:rPr>
                <w:rFonts w:cs="Arial"/>
                <w:sz w:val="18"/>
                <w:szCs w:val="18"/>
              </w:rPr>
              <w:t>,</w:t>
            </w:r>
            <w:r w:rsidRPr="00380746">
              <w:rPr>
                <w:rFonts w:cs="Arial"/>
                <w:sz w:val="18"/>
                <w:szCs w:val="18"/>
              </w:rPr>
              <w:t xml:space="preserve"> kap. 7.2 skal der opfyldes - Bygni</w:t>
            </w:r>
            <w:r w:rsidR="00C27ED1">
              <w:rPr>
                <w:rFonts w:cs="Arial"/>
                <w:sz w:val="18"/>
                <w:szCs w:val="18"/>
              </w:rPr>
              <w:t>ngsklasse 2010, 2015 eller 2020</w:t>
            </w:r>
          </w:p>
        </w:tc>
        <w:tc>
          <w:tcPr>
            <w:tcW w:w="3402" w:type="dxa"/>
            <w:vAlign w:val="center"/>
          </w:tcPr>
          <w:p w14:paraId="0602B1AF" w14:textId="77777777" w:rsidR="00380746" w:rsidRPr="005B4A7B" w:rsidRDefault="00380746" w:rsidP="00E061B5">
            <w:pPr>
              <w:ind w:left="34"/>
              <w:rPr>
                <w:rFonts w:cs="Arial"/>
                <w:sz w:val="18"/>
                <w:szCs w:val="18"/>
              </w:rPr>
            </w:pPr>
          </w:p>
        </w:tc>
      </w:tr>
      <w:tr w:rsidR="00380746" w:rsidRPr="005B4A7B" w14:paraId="0602B1B5" w14:textId="77777777" w:rsidTr="00C83531">
        <w:trPr>
          <w:trHeight w:val="397"/>
        </w:trPr>
        <w:tc>
          <w:tcPr>
            <w:tcW w:w="675" w:type="dxa"/>
            <w:vAlign w:val="center"/>
          </w:tcPr>
          <w:p w14:paraId="0602B1B1" w14:textId="77777777" w:rsidR="00380746" w:rsidRPr="005B4A7B" w:rsidRDefault="00380746" w:rsidP="002B238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14:paraId="0602B1B2" w14:textId="77777777" w:rsidR="00380746" w:rsidRPr="005B4A7B" w:rsidRDefault="00380746" w:rsidP="005B38C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0602B1B3" w14:textId="3C67BF72" w:rsidR="00380746" w:rsidRPr="00380746" w:rsidRDefault="00380746" w:rsidP="00815131">
            <w:pPr>
              <w:ind w:left="34"/>
              <w:rPr>
                <w:rFonts w:cs="Arial"/>
                <w:sz w:val="18"/>
                <w:szCs w:val="18"/>
              </w:rPr>
            </w:pPr>
            <w:r w:rsidRPr="00380746">
              <w:rPr>
                <w:rFonts w:cs="Arial"/>
                <w:sz w:val="18"/>
                <w:szCs w:val="18"/>
              </w:rPr>
              <w:t>Er der opstillet krav om tæthed jf. BR 10</w:t>
            </w:r>
            <w:r w:rsidR="00C27ED1">
              <w:rPr>
                <w:rFonts w:cs="Arial"/>
                <w:sz w:val="18"/>
                <w:szCs w:val="18"/>
              </w:rPr>
              <w:t>,</w:t>
            </w:r>
            <w:r w:rsidRPr="00380746">
              <w:rPr>
                <w:rFonts w:cs="Arial"/>
                <w:sz w:val="18"/>
                <w:szCs w:val="18"/>
              </w:rPr>
              <w:t xml:space="preserve"> kap. 7.2 til et niveau på 1,5, 1,0 eller 0,5 l/sek./m</w:t>
            </w:r>
            <w:r w:rsidRPr="00380746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380746">
              <w:rPr>
                <w:rFonts w:cs="Arial"/>
                <w:sz w:val="18"/>
                <w:szCs w:val="18"/>
              </w:rPr>
              <w:t xml:space="preserve"> </w:t>
            </w:r>
            <w:r w:rsidR="00C27ED1">
              <w:rPr>
                <w:rFonts w:cs="Arial"/>
                <w:sz w:val="18"/>
                <w:szCs w:val="18"/>
              </w:rPr>
              <w:t>efter den valgte bygningsklasse</w:t>
            </w:r>
          </w:p>
        </w:tc>
        <w:tc>
          <w:tcPr>
            <w:tcW w:w="3402" w:type="dxa"/>
            <w:vAlign w:val="center"/>
          </w:tcPr>
          <w:p w14:paraId="0602B1B4" w14:textId="77777777" w:rsidR="00380746" w:rsidRPr="005B4A7B" w:rsidRDefault="00380746" w:rsidP="00E061B5">
            <w:pPr>
              <w:ind w:left="34"/>
              <w:rPr>
                <w:rFonts w:cs="Arial"/>
                <w:sz w:val="18"/>
                <w:szCs w:val="18"/>
              </w:rPr>
            </w:pPr>
          </w:p>
        </w:tc>
      </w:tr>
      <w:tr w:rsidR="00380746" w:rsidRPr="005B4A7B" w14:paraId="0602B1BA" w14:textId="77777777" w:rsidTr="00C83531">
        <w:trPr>
          <w:trHeight w:val="397"/>
        </w:trPr>
        <w:tc>
          <w:tcPr>
            <w:tcW w:w="675" w:type="dxa"/>
            <w:vAlign w:val="center"/>
          </w:tcPr>
          <w:p w14:paraId="0602B1B6" w14:textId="77777777" w:rsidR="00380746" w:rsidRPr="005B4A7B" w:rsidRDefault="00380746" w:rsidP="002B238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1276" w:type="dxa"/>
            <w:vAlign w:val="center"/>
          </w:tcPr>
          <w:p w14:paraId="0602B1B7" w14:textId="77777777" w:rsidR="00380746" w:rsidRPr="005B4A7B" w:rsidRDefault="00380746" w:rsidP="005B38C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0602B1B8" w14:textId="40437E51" w:rsidR="00380746" w:rsidRPr="00380746" w:rsidRDefault="00380746" w:rsidP="00815131">
            <w:pPr>
              <w:ind w:left="34"/>
              <w:rPr>
                <w:rFonts w:cs="Arial"/>
                <w:sz w:val="18"/>
                <w:szCs w:val="18"/>
              </w:rPr>
            </w:pPr>
            <w:r w:rsidRPr="00380746">
              <w:rPr>
                <w:rFonts w:cs="Arial"/>
                <w:sz w:val="18"/>
                <w:szCs w:val="18"/>
              </w:rPr>
              <w:t>Er der i projektet taget hensyn og vist bygbare løsninger der muliggør</w:t>
            </w:r>
            <w:r w:rsidR="00C27ED1">
              <w:rPr>
                <w:rFonts w:cs="Arial"/>
                <w:sz w:val="18"/>
                <w:szCs w:val="18"/>
              </w:rPr>
              <w:t>,</w:t>
            </w:r>
            <w:r w:rsidRPr="00380746">
              <w:rPr>
                <w:rFonts w:cs="Arial"/>
                <w:sz w:val="18"/>
                <w:szCs w:val="18"/>
              </w:rPr>
              <w:t xml:space="preserve"> at det kræv</w:t>
            </w:r>
            <w:r w:rsidR="00C27ED1">
              <w:rPr>
                <w:rFonts w:cs="Arial"/>
                <w:sz w:val="18"/>
                <w:szCs w:val="18"/>
              </w:rPr>
              <w:t>ede lufttæthedsniveau kan opnås</w:t>
            </w:r>
          </w:p>
        </w:tc>
        <w:tc>
          <w:tcPr>
            <w:tcW w:w="3402" w:type="dxa"/>
            <w:vAlign w:val="center"/>
          </w:tcPr>
          <w:p w14:paraId="0602B1B9" w14:textId="77777777" w:rsidR="00380746" w:rsidRPr="005B4A7B" w:rsidRDefault="00380746" w:rsidP="00E061B5">
            <w:pPr>
              <w:ind w:left="34"/>
              <w:rPr>
                <w:rFonts w:cs="Arial"/>
                <w:sz w:val="18"/>
                <w:szCs w:val="18"/>
              </w:rPr>
            </w:pPr>
          </w:p>
        </w:tc>
      </w:tr>
      <w:tr w:rsidR="00380746" w:rsidRPr="005B4A7B" w14:paraId="0602B1BF" w14:textId="77777777" w:rsidTr="00C83531">
        <w:trPr>
          <w:trHeight w:val="397"/>
        </w:trPr>
        <w:tc>
          <w:tcPr>
            <w:tcW w:w="675" w:type="dxa"/>
            <w:vAlign w:val="center"/>
          </w:tcPr>
          <w:p w14:paraId="0602B1BB" w14:textId="77777777" w:rsidR="00380746" w:rsidRPr="005B4A7B" w:rsidRDefault="00380746" w:rsidP="002B238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1276" w:type="dxa"/>
            <w:vAlign w:val="center"/>
          </w:tcPr>
          <w:p w14:paraId="0602B1BC" w14:textId="77777777" w:rsidR="00380746" w:rsidRPr="005B4A7B" w:rsidRDefault="00380746" w:rsidP="005B38C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0602B1BD" w14:textId="1E5711C0" w:rsidR="00380746" w:rsidRPr="00380746" w:rsidRDefault="00380746" w:rsidP="00C27ED1">
            <w:pPr>
              <w:ind w:left="34"/>
              <w:rPr>
                <w:rFonts w:cs="Arial"/>
                <w:sz w:val="18"/>
                <w:szCs w:val="18"/>
              </w:rPr>
            </w:pPr>
            <w:r w:rsidRPr="00380746">
              <w:rPr>
                <w:rFonts w:cs="Arial"/>
                <w:sz w:val="18"/>
                <w:szCs w:val="18"/>
              </w:rPr>
              <w:t>Er det en tilbygning eller en større ombygning – og er der stillet krav til konstruktioner i ove</w:t>
            </w:r>
            <w:r w:rsidR="00C27ED1">
              <w:rPr>
                <w:rFonts w:cs="Arial"/>
                <w:sz w:val="18"/>
                <w:szCs w:val="18"/>
              </w:rPr>
              <w:t>rensstemmelse med BR 10, kap. 7.3</w:t>
            </w:r>
          </w:p>
        </w:tc>
        <w:tc>
          <w:tcPr>
            <w:tcW w:w="3402" w:type="dxa"/>
            <w:vAlign w:val="center"/>
          </w:tcPr>
          <w:p w14:paraId="0602B1BE" w14:textId="77777777" w:rsidR="00380746" w:rsidRPr="005B4A7B" w:rsidRDefault="00380746" w:rsidP="00E061B5">
            <w:pPr>
              <w:ind w:left="34"/>
              <w:rPr>
                <w:rFonts w:cs="Arial"/>
                <w:sz w:val="18"/>
                <w:szCs w:val="18"/>
              </w:rPr>
            </w:pPr>
          </w:p>
        </w:tc>
      </w:tr>
      <w:tr w:rsidR="00380746" w:rsidRPr="005B4A7B" w14:paraId="0602B1C4" w14:textId="77777777" w:rsidTr="00C83531">
        <w:trPr>
          <w:trHeight w:val="397"/>
        </w:trPr>
        <w:tc>
          <w:tcPr>
            <w:tcW w:w="675" w:type="dxa"/>
            <w:vAlign w:val="center"/>
          </w:tcPr>
          <w:p w14:paraId="0602B1C0" w14:textId="77777777" w:rsidR="00380746" w:rsidRPr="005B4A7B" w:rsidRDefault="00380746" w:rsidP="002B238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1276" w:type="dxa"/>
            <w:vAlign w:val="center"/>
          </w:tcPr>
          <w:p w14:paraId="0602B1C1" w14:textId="77777777" w:rsidR="00380746" w:rsidRPr="005B4A7B" w:rsidRDefault="00380746" w:rsidP="005B38C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0602B1C2" w14:textId="519479D9" w:rsidR="00380746" w:rsidRPr="00380746" w:rsidRDefault="00380746" w:rsidP="00C27ED1">
            <w:pPr>
              <w:ind w:left="34"/>
              <w:rPr>
                <w:rFonts w:cs="Arial"/>
                <w:sz w:val="18"/>
                <w:szCs w:val="18"/>
              </w:rPr>
            </w:pPr>
            <w:r w:rsidRPr="00380746">
              <w:rPr>
                <w:rFonts w:cs="Arial"/>
                <w:sz w:val="18"/>
                <w:szCs w:val="18"/>
              </w:rPr>
              <w:t>Er det reparation og vedligehold jf. BR 10</w:t>
            </w:r>
            <w:r w:rsidR="00C27ED1">
              <w:rPr>
                <w:rFonts w:cs="Arial"/>
                <w:sz w:val="18"/>
                <w:szCs w:val="18"/>
              </w:rPr>
              <w:t>,</w:t>
            </w:r>
            <w:r w:rsidRPr="00380746">
              <w:rPr>
                <w:rFonts w:cs="Arial"/>
                <w:sz w:val="18"/>
                <w:szCs w:val="18"/>
              </w:rPr>
              <w:t xml:space="preserve"> kap. 7.4.1-2 – og er der i projektet redegjort for om de rentable energiforbedringer er planlagt og skal </w:t>
            </w:r>
            <w:r w:rsidR="00C27ED1">
              <w:rPr>
                <w:rFonts w:cs="Arial"/>
                <w:sz w:val="18"/>
                <w:szCs w:val="18"/>
              </w:rPr>
              <w:t>udføres</w:t>
            </w:r>
          </w:p>
        </w:tc>
        <w:tc>
          <w:tcPr>
            <w:tcW w:w="3402" w:type="dxa"/>
            <w:vAlign w:val="center"/>
          </w:tcPr>
          <w:p w14:paraId="0602B1C3" w14:textId="77777777" w:rsidR="00380746" w:rsidRPr="005B4A7B" w:rsidRDefault="00380746" w:rsidP="00E061B5">
            <w:pPr>
              <w:ind w:left="34"/>
              <w:rPr>
                <w:rFonts w:cs="Arial"/>
                <w:sz w:val="18"/>
                <w:szCs w:val="18"/>
              </w:rPr>
            </w:pPr>
          </w:p>
        </w:tc>
      </w:tr>
      <w:tr w:rsidR="00380746" w:rsidRPr="005B4A7B" w14:paraId="0602B1C9" w14:textId="77777777" w:rsidTr="00C83531">
        <w:trPr>
          <w:trHeight w:val="397"/>
        </w:trPr>
        <w:tc>
          <w:tcPr>
            <w:tcW w:w="675" w:type="dxa"/>
            <w:vAlign w:val="center"/>
          </w:tcPr>
          <w:p w14:paraId="0602B1C5" w14:textId="77777777" w:rsidR="00380746" w:rsidRPr="005B4A7B" w:rsidRDefault="00380746" w:rsidP="002B238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1276" w:type="dxa"/>
            <w:vAlign w:val="center"/>
          </w:tcPr>
          <w:p w14:paraId="0602B1C6" w14:textId="77777777" w:rsidR="00380746" w:rsidRPr="005B4A7B" w:rsidRDefault="00380746" w:rsidP="005B38C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0602B1C7" w14:textId="104541D7" w:rsidR="00380746" w:rsidRPr="00380746" w:rsidRDefault="00380746" w:rsidP="00C27ED1">
            <w:pPr>
              <w:ind w:left="34"/>
              <w:rPr>
                <w:rFonts w:cs="Arial"/>
                <w:sz w:val="18"/>
                <w:szCs w:val="18"/>
              </w:rPr>
            </w:pPr>
            <w:r w:rsidRPr="00380746">
              <w:rPr>
                <w:rFonts w:cs="Arial"/>
                <w:sz w:val="18"/>
                <w:szCs w:val="18"/>
              </w:rPr>
              <w:t>Ved udskiftning af hele komponenter, som fx et vindue eller en hel tagkonstruktion iht. BR 10</w:t>
            </w:r>
            <w:r w:rsidR="00C27ED1">
              <w:rPr>
                <w:rFonts w:cs="Arial"/>
                <w:sz w:val="18"/>
                <w:szCs w:val="18"/>
              </w:rPr>
              <w:t>,</w:t>
            </w:r>
            <w:r w:rsidRPr="00380746">
              <w:rPr>
                <w:rFonts w:cs="Arial"/>
                <w:sz w:val="18"/>
                <w:szCs w:val="18"/>
              </w:rPr>
              <w:t xml:space="preserve"> kap. 7.4.1</w:t>
            </w:r>
            <w:r w:rsidR="00C27ED1">
              <w:rPr>
                <w:rFonts w:cs="Arial"/>
                <w:sz w:val="18"/>
                <w:szCs w:val="18"/>
              </w:rPr>
              <w:t>,</w:t>
            </w:r>
            <w:r w:rsidRPr="00380746">
              <w:rPr>
                <w:rFonts w:cs="Arial"/>
                <w:sz w:val="18"/>
                <w:szCs w:val="18"/>
              </w:rPr>
              <w:t xml:space="preserve"> stk. 4, er der i projektet taget højde for, at her skal komponentkravet følges uanset rentabiliteten. (Se dog vejledningsteksten om erstatning med anden besparelse)</w:t>
            </w:r>
          </w:p>
        </w:tc>
        <w:tc>
          <w:tcPr>
            <w:tcW w:w="3402" w:type="dxa"/>
            <w:vAlign w:val="center"/>
          </w:tcPr>
          <w:p w14:paraId="0602B1C8" w14:textId="77777777" w:rsidR="00380746" w:rsidRPr="005B4A7B" w:rsidRDefault="00380746" w:rsidP="00E061B5">
            <w:pPr>
              <w:ind w:left="34"/>
              <w:rPr>
                <w:rFonts w:cs="Arial"/>
                <w:sz w:val="18"/>
                <w:szCs w:val="18"/>
              </w:rPr>
            </w:pPr>
          </w:p>
        </w:tc>
      </w:tr>
      <w:tr w:rsidR="00380746" w:rsidRPr="005B4A7B" w14:paraId="0602B1CE" w14:textId="77777777" w:rsidTr="00C83531">
        <w:trPr>
          <w:trHeight w:val="397"/>
        </w:trPr>
        <w:tc>
          <w:tcPr>
            <w:tcW w:w="675" w:type="dxa"/>
            <w:vAlign w:val="center"/>
          </w:tcPr>
          <w:p w14:paraId="0602B1CA" w14:textId="77777777" w:rsidR="00380746" w:rsidRDefault="00380746" w:rsidP="002B238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1276" w:type="dxa"/>
            <w:vAlign w:val="center"/>
          </w:tcPr>
          <w:p w14:paraId="0602B1CB" w14:textId="77777777" w:rsidR="00380746" w:rsidRPr="005B4A7B" w:rsidRDefault="00380746" w:rsidP="005B38C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0602B1CC" w14:textId="4D3A1C81" w:rsidR="00380746" w:rsidRPr="00380746" w:rsidRDefault="00386EA4" w:rsidP="00815131">
            <w:pPr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Er forankringsprincippet indarbejdet i projektmaterialet</w:t>
            </w:r>
          </w:p>
        </w:tc>
        <w:tc>
          <w:tcPr>
            <w:tcW w:w="3402" w:type="dxa"/>
            <w:vAlign w:val="center"/>
          </w:tcPr>
          <w:p w14:paraId="0602B1CD" w14:textId="77777777" w:rsidR="00380746" w:rsidRPr="005B4A7B" w:rsidRDefault="00380746" w:rsidP="00E061B5">
            <w:pPr>
              <w:ind w:left="34"/>
              <w:rPr>
                <w:rFonts w:cs="Arial"/>
                <w:sz w:val="18"/>
                <w:szCs w:val="18"/>
              </w:rPr>
            </w:pPr>
          </w:p>
        </w:tc>
      </w:tr>
      <w:tr w:rsidR="00180265" w:rsidRPr="005B4A7B" w14:paraId="749BB376" w14:textId="77777777" w:rsidTr="00C83531">
        <w:trPr>
          <w:trHeight w:val="397"/>
        </w:trPr>
        <w:tc>
          <w:tcPr>
            <w:tcW w:w="675" w:type="dxa"/>
            <w:vAlign w:val="center"/>
          </w:tcPr>
          <w:p w14:paraId="2F304A7D" w14:textId="77777777" w:rsidR="00180265" w:rsidRDefault="00180265" w:rsidP="002B238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A66CC2" w14:textId="77777777" w:rsidR="00180265" w:rsidRPr="005B4A7B" w:rsidRDefault="00180265" w:rsidP="005B38C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0DA73608" w14:textId="77777777" w:rsidR="00180265" w:rsidRDefault="00180265" w:rsidP="00815131">
            <w:pPr>
              <w:ind w:left="34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2D0856E" w14:textId="77777777" w:rsidR="00180265" w:rsidRPr="005B4A7B" w:rsidRDefault="00180265" w:rsidP="00E061B5">
            <w:pPr>
              <w:ind w:left="34"/>
              <w:rPr>
                <w:rFonts w:cs="Arial"/>
                <w:sz w:val="18"/>
                <w:szCs w:val="18"/>
              </w:rPr>
            </w:pPr>
          </w:p>
        </w:tc>
      </w:tr>
      <w:tr w:rsidR="00386EA4" w:rsidRPr="005B4A7B" w14:paraId="1867225E" w14:textId="77777777" w:rsidTr="00180265">
        <w:trPr>
          <w:trHeight w:val="397"/>
        </w:trPr>
        <w:tc>
          <w:tcPr>
            <w:tcW w:w="675" w:type="dxa"/>
            <w:shd w:val="clear" w:color="auto" w:fill="FBD4B4" w:themeFill="accent6" w:themeFillTint="66"/>
            <w:vAlign w:val="center"/>
          </w:tcPr>
          <w:p w14:paraId="5AABC767" w14:textId="06B0A6F9" w:rsidR="00386EA4" w:rsidRDefault="00386EA4" w:rsidP="002B238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0B0DA68B" w14:textId="77777777" w:rsidR="00386EA4" w:rsidRPr="005B4A7B" w:rsidRDefault="00386EA4" w:rsidP="005B38C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FBD4B4" w:themeFill="accent6" w:themeFillTint="66"/>
            <w:vAlign w:val="center"/>
          </w:tcPr>
          <w:p w14:paraId="25BADA18" w14:textId="54C137B9" w:rsidR="00386EA4" w:rsidRPr="00180265" w:rsidRDefault="00180265" w:rsidP="00180265">
            <w:pPr>
              <w:ind w:left="34"/>
              <w:jc w:val="center"/>
              <w:rPr>
                <w:rFonts w:cs="Arial"/>
                <w:b/>
                <w:sz w:val="18"/>
                <w:szCs w:val="18"/>
              </w:rPr>
            </w:pPr>
            <w:r w:rsidRPr="00180265">
              <w:rPr>
                <w:rFonts w:cs="Arial"/>
                <w:b/>
                <w:sz w:val="18"/>
                <w:szCs w:val="18"/>
              </w:rPr>
              <w:t>Vinterbyggeri: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14:paraId="0C4D9C05" w14:textId="77777777" w:rsidR="00386EA4" w:rsidRPr="005B4A7B" w:rsidRDefault="00386EA4" w:rsidP="00E061B5">
            <w:pPr>
              <w:ind w:left="34"/>
              <w:rPr>
                <w:rFonts w:cs="Arial"/>
                <w:sz w:val="18"/>
                <w:szCs w:val="18"/>
              </w:rPr>
            </w:pPr>
          </w:p>
        </w:tc>
      </w:tr>
      <w:tr w:rsidR="00180265" w:rsidRPr="005B4A7B" w14:paraId="03F7B667" w14:textId="77777777" w:rsidTr="00C83531">
        <w:trPr>
          <w:trHeight w:val="397"/>
        </w:trPr>
        <w:tc>
          <w:tcPr>
            <w:tcW w:w="675" w:type="dxa"/>
            <w:vAlign w:val="center"/>
          </w:tcPr>
          <w:p w14:paraId="2F6FE48F" w14:textId="42024AD1" w:rsidR="00180265" w:rsidRDefault="00180265" w:rsidP="002B238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1276" w:type="dxa"/>
            <w:vAlign w:val="center"/>
          </w:tcPr>
          <w:p w14:paraId="72A015DE" w14:textId="77777777" w:rsidR="00180265" w:rsidRPr="005B4A7B" w:rsidRDefault="00180265" w:rsidP="005B38C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0273D047" w14:textId="2F74F89D" w:rsidR="00180265" w:rsidRDefault="00180265" w:rsidP="00180265">
            <w:pPr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Er der i projektet beskrevet krav til byggeriets gennemførelse i vinterperioden i overensstemmelse med den aktuelle Vinterbekendtgørelsen </w:t>
            </w:r>
          </w:p>
        </w:tc>
        <w:tc>
          <w:tcPr>
            <w:tcW w:w="3402" w:type="dxa"/>
            <w:vAlign w:val="center"/>
          </w:tcPr>
          <w:p w14:paraId="3009D330" w14:textId="77777777" w:rsidR="00180265" w:rsidRPr="005B4A7B" w:rsidRDefault="00180265" w:rsidP="00E061B5">
            <w:pPr>
              <w:ind w:left="34"/>
              <w:rPr>
                <w:rFonts w:cs="Arial"/>
                <w:sz w:val="18"/>
                <w:szCs w:val="18"/>
              </w:rPr>
            </w:pPr>
          </w:p>
        </w:tc>
      </w:tr>
      <w:tr w:rsidR="00180265" w:rsidRPr="005B4A7B" w14:paraId="7081FF8F" w14:textId="77777777" w:rsidTr="00C83531">
        <w:trPr>
          <w:trHeight w:val="397"/>
        </w:trPr>
        <w:tc>
          <w:tcPr>
            <w:tcW w:w="675" w:type="dxa"/>
            <w:vAlign w:val="center"/>
          </w:tcPr>
          <w:p w14:paraId="5B186841" w14:textId="77777777" w:rsidR="00180265" w:rsidRDefault="00180265" w:rsidP="002B238F">
            <w:pPr>
              <w:jc w:val="center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5264739B" w14:textId="77777777" w:rsidR="00180265" w:rsidRPr="005B4A7B" w:rsidRDefault="00180265" w:rsidP="005B38C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72B3F405" w14:textId="77777777" w:rsidR="00180265" w:rsidRDefault="00180265" w:rsidP="00180265">
            <w:pPr>
              <w:ind w:left="34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CA56789" w14:textId="77777777" w:rsidR="00180265" w:rsidRPr="005B4A7B" w:rsidRDefault="00180265" w:rsidP="00E061B5">
            <w:pPr>
              <w:ind w:left="34"/>
              <w:rPr>
                <w:rFonts w:cs="Arial"/>
                <w:sz w:val="18"/>
                <w:szCs w:val="18"/>
              </w:rPr>
            </w:pPr>
          </w:p>
        </w:tc>
      </w:tr>
    </w:tbl>
    <w:p w14:paraId="0602B1CF" w14:textId="77777777" w:rsidR="00C83531" w:rsidRPr="005B4A7B" w:rsidRDefault="00C83531" w:rsidP="00C83531">
      <w:pPr>
        <w:ind w:left="1134"/>
        <w:rPr>
          <w:rFonts w:cs="Arial"/>
          <w:sz w:val="20"/>
          <w:szCs w:val="20"/>
        </w:rPr>
      </w:pPr>
    </w:p>
    <w:sectPr w:rsidR="00C83531" w:rsidRPr="005B4A7B" w:rsidSect="00DB26C4">
      <w:headerReference w:type="default" r:id="rId13"/>
      <w:footerReference w:type="default" r:id="rId14"/>
      <w:pgSz w:w="11906" w:h="16838" w:code="9"/>
      <w:pgMar w:top="567" w:right="720" w:bottom="567" w:left="720" w:header="142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2B1D6" w14:textId="77777777" w:rsidR="00D60BE8" w:rsidRDefault="00D60BE8" w:rsidP="00366CC4">
      <w:pPr>
        <w:spacing w:after="0" w:line="240" w:lineRule="auto"/>
      </w:pPr>
      <w:r>
        <w:separator/>
      </w:r>
    </w:p>
  </w:endnote>
  <w:endnote w:type="continuationSeparator" w:id="0">
    <w:p w14:paraId="0602B1D7" w14:textId="77777777" w:rsidR="00D60BE8" w:rsidRDefault="00D60BE8" w:rsidP="00366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55570835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248232433"/>
          <w:docPartObj>
            <w:docPartGallery w:val="Page Numbers (Top of Page)"/>
            <w:docPartUnique/>
          </w:docPartObj>
        </w:sdtPr>
        <w:sdtEndPr/>
        <w:sdtContent>
          <w:p w14:paraId="0602B1DA" w14:textId="1D216601" w:rsidR="00D60BE8" w:rsidRPr="00E72056" w:rsidRDefault="00180265" w:rsidP="00E72056">
            <w:pPr>
              <w:pStyle w:val="Sidefod"/>
              <w:jc w:val="righ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Juni 2014</w:t>
            </w:r>
            <w:r w:rsidR="00D60BE8" w:rsidRPr="001C5483">
              <w:rPr>
                <w:sz w:val="16"/>
                <w:szCs w:val="16"/>
              </w:rPr>
              <w:t xml:space="preserve">, side </w:t>
            </w:r>
            <w:r w:rsidR="00D60BE8" w:rsidRPr="001C5483">
              <w:rPr>
                <w:bCs/>
                <w:sz w:val="16"/>
                <w:szCs w:val="16"/>
              </w:rPr>
              <w:fldChar w:fldCharType="begin"/>
            </w:r>
            <w:r w:rsidR="00D60BE8" w:rsidRPr="001C5483">
              <w:rPr>
                <w:bCs/>
                <w:sz w:val="16"/>
                <w:szCs w:val="16"/>
              </w:rPr>
              <w:instrText>PAGE</w:instrText>
            </w:r>
            <w:r w:rsidR="00D60BE8" w:rsidRPr="001C5483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1</w:t>
            </w:r>
            <w:r w:rsidR="00D60BE8" w:rsidRPr="001C5483">
              <w:rPr>
                <w:bCs/>
                <w:sz w:val="16"/>
                <w:szCs w:val="16"/>
              </w:rPr>
              <w:fldChar w:fldCharType="end"/>
            </w:r>
            <w:r w:rsidR="00D60BE8" w:rsidRPr="001C5483">
              <w:rPr>
                <w:sz w:val="16"/>
                <w:szCs w:val="16"/>
              </w:rPr>
              <w:t xml:space="preserve"> af </w:t>
            </w:r>
            <w:r w:rsidR="00D60BE8" w:rsidRPr="001C5483">
              <w:rPr>
                <w:bCs/>
                <w:sz w:val="16"/>
                <w:szCs w:val="16"/>
              </w:rPr>
              <w:fldChar w:fldCharType="begin"/>
            </w:r>
            <w:r w:rsidR="00D60BE8" w:rsidRPr="001C5483">
              <w:rPr>
                <w:bCs/>
                <w:sz w:val="16"/>
                <w:szCs w:val="16"/>
              </w:rPr>
              <w:instrText>NUMPAGES</w:instrText>
            </w:r>
            <w:r w:rsidR="00D60BE8" w:rsidRPr="001C5483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1</w:t>
            </w:r>
            <w:r w:rsidR="00D60BE8" w:rsidRPr="001C5483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2B1D4" w14:textId="77777777" w:rsidR="00D60BE8" w:rsidRDefault="00D60BE8" w:rsidP="00366CC4">
      <w:pPr>
        <w:spacing w:after="0" w:line="240" w:lineRule="auto"/>
      </w:pPr>
      <w:r>
        <w:separator/>
      </w:r>
    </w:p>
  </w:footnote>
  <w:footnote w:type="continuationSeparator" w:id="0">
    <w:p w14:paraId="0602B1D5" w14:textId="77777777" w:rsidR="00D60BE8" w:rsidRDefault="00D60BE8" w:rsidP="00366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F7BC8" w14:textId="5EFE1F60" w:rsidR="00D60BE8" w:rsidRDefault="00D60BE8" w:rsidP="008F5AF5">
    <w:pPr>
      <w:pStyle w:val="Sidehoved"/>
      <w:rPr>
        <w:smallCaps/>
        <w:sz w:val="32"/>
        <w:szCs w:val="32"/>
      </w:rPr>
    </w:pPr>
    <w:r>
      <w:rPr>
        <w:smallCaps/>
        <w:sz w:val="32"/>
        <w:szCs w:val="32"/>
      </w:rPr>
      <w:t>Tjekliste til procesgranskning</w:t>
    </w:r>
  </w:p>
  <w:tbl>
    <w:tblPr>
      <w:tblW w:w="105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EECE1" w:themeFill="background2"/>
      <w:tblLayout w:type="fixed"/>
      <w:tblLook w:val="01E0" w:firstRow="1" w:lastRow="1" w:firstColumn="1" w:lastColumn="1" w:noHBand="0" w:noVBand="0"/>
    </w:tblPr>
    <w:tblGrid>
      <w:gridCol w:w="675"/>
      <w:gridCol w:w="1276"/>
      <w:gridCol w:w="5245"/>
      <w:gridCol w:w="3402"/>
    </w:tblGrid>
    <w:tr w:rsidR="00D60BE8" w:rsidRPr="00250FFC" w14:paraId="5AD09F6F" w14:textId="77777777" w:rsidTr="005703EF">
      <w:tc>
        <w:tcPr>
          <w:tcW w:w="675" w:type="dxa"/>
          <w:shd w:val="clear" w:color="auto" w:fill="EEECE1" w:themeFill="background2"/>
          <w:vAlign w:val="center"/>
        </w:tcPr>
        <w:p w14:paraId="7FBFCADC" w14:textId="77777777" w:rsidR="00D60BE8" w:rsidRPr="00250FFC" w:rsidRDefault="00D60BE8" w:rsidP="00D60BE8">
          <w:pPr>
            <w:spacing w:after="0"/>
            <w:rPr>
              <w:smallCaps/>
            </w:rPr>
          </w:pPr>
          <w:r w:rsidRPr="00250FFC">
            <w:rPr>
              <w:smallCaps/>
            </w:rPr>
            <w:t xml:space="preserve">Nr. </w:t>
          </w:r>
        </w:p>
      </w:tc>
      <w:tc>
        <w:tcPr>
          <w:tcW w:w="1276" w:type="dxa"/>
          <w:shd w:val="clear" w:color="auto" w:fill="EEECE1" w:themeFill="background2"/>
          <w:vAlign w:val="center"/>
        </w:tcPr>
        <w:p w14:paraId="7BD64B23" w14:textId="77777777" w:rsidR="00D60BE8" w:rsidRPr="00250FFC" w:rsidRDefault="00D60BE8" w:rsidP="00D60BE8">
          <w:pPr>
            <w:spacing w:after="0"/>
            <w:rPr>
              <w:smallCaps/>
            </w:rPr>
          </w:pPr>
          <w:r w:rsidRPr="00250FFC">
            <w:rPr>
              <w:smallCaps/>
            </w:rPr>
            <w:t>Position/ tegning</w:t>
          </w:r>
        </w:p>
      </w:tc>
      <w:tc>
        <w:tcPr>
          <w:tcW w:w="5245" w:type="dxa"/>
          <w:shd w:val="clear" w:color="auto" w:fill="EEECE1" w:themeFill="background2"/>
          <w:vAlign w:val="center"/>
        </w:tcPr>
        <w:p w14:paraId="670D693C" w14:textId="08C2E292" w:rsidR="00D60BE8" w:rsidRPr="00E72056" w:rsidRDefault="00180265" w:rsidP="005703EF">
          <w:pPr>
            <w:spacing w:after="0"/>
            <w:rPr>
              <w:smallCaps/>
            </w:rPr>
          </w:pPr>
          <w:r w:rsidRPr="00250FFC">
            <w:rPr>
              <w:smallCaps/>
            </w:rPr>
            <w:t>Tjekliste til</w:t>
          </w:r>
          <w:r>
            <w:rPr>
              <w:smallCaps/>
            </w:rPr>
            <w:t>: GENERELT - BYGGETEKNIK</w:t>
          </w:r>
        </w:p>
      </w:tc>
      <w:tc>
        <w:tcPr>
          <w:tcW w:w="3402" w:type="dxa"/>
          <w:shd w:val="clear" w:color="auto" w:fill="EEECE1" w:themeFill="background2"/>
          <w:vAlign w:val="center"/>
        </w:tcPr>
        <w:p w14:paraId="088B15D1" w14:textId="77777777" w:rsidR="00D60BE8" w:rsidRPr="00250FFC" w:rsidRDefault="00D60BE8" w:rsidP="00D60BE8">
          <w:pPr>
            <w:spacing w:after="0"/>
            <w:rPr>
              <w:smallCaps/>
            </w:rPr>
          </w:pPr>
          <w:r w:rsidRPr="00250FFC">
            <w:rPr>
              <w:smallCaps/>
            </w:rPr>
            <w:t>Bemærkning</w:t>
          </w:r>
        </w:p>
      </w:tc>
    </w:tr>
    <w:tr w:rsidR="00180265" w:rsidRPr="00250FFC" w14:paraId="68DC4ED5" w14:textId="77777777" w:rsidTr="005703EF">
      <w:tc>
        <w:tcPr>
          <w:tcW w:w="675" w:type="dxa"/>
          <w:shd w:val="clear" w:color="auto" w:fill="EEECE1" w:themeFill="background2"/>
          <w:vAlign w:val="center"/>
        </w:tcPr>
        <w:p w14:paraId="66B0A292" w14:textId="77777777" w:rsidR="00180265" w:rsidRPr="00250FFC" w:rsidRDefault="00180265" w:rsidP="00D60BE8">
          <w:pPr>
            <w:spacing w:after="0"/>
            <w:rPr>
              <w:smallCaps/>
            </w:rPr>
          </w:pPr>
        </w:p>
      </w:tc>
      <w:tc>
        <w:tcPr>
          <w:tcW w:w="1276" w:type="dxa"/>
          <w:shd w:val="clear" w:color="auto" w:fill="EEECE1" w:themeFill="background2"/>
          <w:vAlign w:val="center"/>
        </w:tcPr>
        <w:p w14:paraId="215995EE" w14:textId="2A45F562" w:rsidR="00180265" w:rsidRPr="00250FFC" w:rsidRDefault="00180265" w:rsidP="00D60BE8">
          <w:pPr>
            <w:spacing w:after="0"/>
            <w:rPr>
              <w:smallCaps/>
            </w:rPr>
          </w:pPr>
          <w:r w:rsidRPr="00380746">
            <w:rPr>
              <w:rFonts w:cs="Arial"/>
              <w:b/>
              <w:sz w:val="20"/>
              <w:szCs w:val="20"/>
            </w:rPr>
            <w:t>BR 10</w:t>
          </w:r>
        </w:p>
      </w:tc>
      <w:tc>
        <w:tcPr>
          <w:tcW w:w="5245" w:type="dxa"/>
          <w:shd w:val="clear" w:color="auto" w:fill="EEECE1" w:themeFill="background2"/>
          <w:vAlign w:val="center"/>
        </w:tcPr>
        <w:p w14:paraId="04D98B9A" w14:textId="58E37DA0" w:rsidR="00180265" w:rsidRPr="00250FFC" w:rsidRDefault="00180265" w:rsidP="005703EF">
          <w:pPr>
            <w:spacing w:after="0"/>
            <w:rPr>
              <w:smallCaps/>
            </w:rPr>
          </w:pPr>
          <w:r w:rsidRPr="00380746">
            <w:rPr>
              <w:rFonts w:cs="Arial"/>
              <w:b/>
              <w:sz w:val="20"/>
              <w:szCs w:val="20"/>
            </w:rPr>
            <w:t>BYGNINGSREGLEMENTET</w:t>
          </w:r>
        </w:p>
      </w:tc>
      <w:tc>
        <w:tcPr>
          <w:tcW w:w="3402" w:type="dxa"/>
          <w:shd w:val="clear" w:color="auto" w:fill="EEECE1" w:themeFill="background2"/>
          <w:vAlign w:val="center"/>
        </w:tcPr>
        <w:p w14:paraId="28CD5901" w14:textId="77777777" w:rsidR="00180265" w:rsidRPr="00250FFC" w:rsidRDefault="00180265" w:rsidP="00D60BE8">
          <w:pPr>
            <w:spacing w:after="0"/>
            <w:rPr>
              <w:smallCaps/>
            </w:rPr>
          </w:pPr>
        </w:p>
      </w:tc>
    </w:tr>
  </w:tbl>
  <w:p w14:paraId="21B033CC" w14:textId="77777777" w:rsidR="00D60BE8" w:rsidRPr="005703EF" w:rsidRDefault="00D60BE8" w:rsidP="008F5AF5">
    <w:pPr>
      <w:pStyle w:val="Sidehoved"/>
      <w:rPr>
        <w:smallCap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4502D"/>
    <w:multiLevelType w:val="hybridMultilevel"/>
    <w:tmpl w:val="1E9215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72A1E"/>
    <w:multiLevelType w:val="hybridMultilevel"/>
    <w:tmpl w:val="760C1F8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40074"/>
    <w:multiLevelType w:val="hybridMultilevel"/>
    <w:tmpl w:val="E40099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BB"/>
    <w:rsid w:val="00005DE1"/>
    <w:rsid w:val="000D6B9E"/>
    <w:rsid w:val="00114C8B"/>
    <w:rsid w:val="00165397"/>
    <w:rsid w:val="00180265"/>
    <w:rsid w:val="00191956"/>
    <w:rsid w:val="001A7C47"/>
    <w:rsid w:val="001B6BDB"/>
    <w:rsid w:val="001C5483"/>
    <w:rsid w:val="002209F4"/>
    <w:rsid w:val="00257E40"/>
    <w:rsid w:val="002B238F"/>
    <w:rsid w:val="002E2565"/>
    <w:rsid w:val="002E3829"/>
    <w:rsid w:val="002F4D4B"/>
    <w:rsid w:val="002F7518"/>
    <w:rsid w:val="00361D7C"/>
    <w:rsid w:val="00366CC4"/>
    <w:rsid w:val="0037765D"/>
    <w:rsid w:val="00380746"/>
    <w:rsid w:val="00386EA4"/>
    <w:rsid w:val="003B5EF9"/>
    <w:rsid w:val="003C42D6"/>
    <w:rsid w:val="003F179A"/>
    <w:rsid w:val="004504E9"/>
    <w:rsid w:val="00473756"/>
    <w:rsid w:val="004973FA"/>
    <w:rsid w:val="004A5618"/>
    <w:rsid w:val="004B5F11"/>
    <w:rsid w:val="004C7364"/>
    <w:rsid w:val="00512005"/>
    <w:rsid w:val="00516A3D"/>
    <w:rsid w:val="005703EF"/>
    <w:rsid w:val="00585F46"/>
    <w:rsid w:val="005B38CA"/>
    <w:rsid w:val="005B4A7B"/>
    <w:rsid w:val="00605C36"/>
    <w:rsid w:val="006211C0"/>
    <w:rsid w:val="0062262F"/>
    <w:rsid w:val="00642CBF"/>
    <w:rsid w:val="006767E6"/>
    <w:rsid w:val="006A538D"/>
    <w:rsid w:val="006C4EA8"/>
    <w:rsid w:val="006F7E78"/>
    <w:rsid w:val="00735F9E"/>
    <w:rsid w:val="0076059E"/>
    <w:rsid w:val="0078529E"/>
    <w:rsid w:val="00785588"/>
    <w:rsid w:val="00815131"/>
    <w:rsid w:val="008406D3"/>
    <w:rsid w:val="008512BB"/>
    <w:rsid w:val="0086560E"/>
    <w:rsid w:val="008A6B1E"/>
    <w:rsid w:val="008C2B42"/>
    <w:rsid w:val="008F5AF5"/>
    <w:rsid w:val="009027E9"/>
    <w:rsid w:val="009913BC"/>
    <w:rsid w:val="009B20AF"/>
    <w:rsid w:val="009D578A"/>
    <w:rsid w:val="00A16831"/>
    <w:rsid w:val="00A364ED"/>
    <w:rsid w:val="00A572F2"/>
    <w:rsid w:val="00A81291"/>
    <w:rsid w:val="00A936F3"/>
    <w:rsid w:val="00AC5D67"/>
    <w:rsid w:val="00AD7FE4"/>
    <w:rsid w:val="00B15D33"/>
    <w:rsid w:val="00B52B25"/>
    <w:rsid w:val="00B5422D"/>
    <w:rsid w:val="00BD3367"/>
    <w:rsid w:val="00C23097"/>
    <w:rsid w:val="00C27ED1"/>
    <w:rsid w:val="00C5177D"/>
    <w:rsid w:val="00C83531"/>
    <w:rsid w:val="00C936D7"/>
    <w:rsid w:val="00CA5D8B"/>
    <w:rsid w:val="00CB7772"/>
    <w:rsid w:val="00CC6640"/>
    <w:rsid w:val="00D00F47"/>
    <w:rsid w:val="00D4675E"/>
    <w:rsid w:val="00D60BE8"/>
    <w:rsid w:val="00D66D25"/>
    <w:rsid w:val="00D867B7"/>
    <w:rsid w:val="00DA17AE"/>
    <w:rsid w:val="00DB26C4"/>
    <w:rsid w:val="00E061B5"/>
    <w:rsid w:val="00E20B01"/>
    <w:rsid w:val="00E34DBF"/>
    <w:rsid w:val="00E57861"/>
    <w:rsid w:val="00E72056"/>
    <w:rsid w:val="00E7423A"/>
    <w:rsid w:val="00E96804"/>
    <w:rsid w:val="00EB43CB"/>
    <w:rsid w:val="00ED0A82"/>
    <w:rsid w:val="00F147E5"/>
    <w:rsid w:val="00F61437"/>
    <w:rsid w:val="00F91BFB"/>
    <w:rsid w:val="00FA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602B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AF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51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nhideWhenUsed/>
    <w:rsid w:val="00366C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66CC4"/>
  </w:style>
  <w:style w:type="paragraph" w:styleId="Sidefod">
    <w:name w:val="footer"/>
    <w:basedOn w:val="Normal"/>
    <w:link w:val="SidefodTegn"/>
    <w:uiPriority w:val="99"/>
    <w:unhideWhenUsed/>
    <w:rsid w:val="00366C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66CC4"/>
  </w:style>
  <w:style w:type="paragraph" w:styleId="Ingenafstand">
    <w:name w:val="No Spacing"/>
    <w:link w:val="IngenafstandTegn"/>
    <w:uiPriority w:val="1"/>
    <w:qFormat/>
    <w:rsid w:val="000D6B9E"/>
    <w:pPr>
      <w:spacing w:after="0" w:line="240" w:lineRule="auto"/>
    </w:pPr>
    <w:rPr>
      <w:rFonts w:asciiTheme="minorHAnsi" w:eastAsiaTheme="minorEastAsia" w:hAnsiTheme="minorHAnsi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0D6B9E"/>
    <w:rPr>
      <w:rFonts w:asciiTheme="minorHAnsi" w:eastAsiaTheme="minorEastAsia" w:hAnsiTheme="minorHAnsi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6B9E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CA5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AF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51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nhideWhenUsed/>
    <w:rsid w:val="00366C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66CC4"/>
  </w:style>
  <w:style w:type="paragraph" w:styleId="Sidefod">
    <w:name w:val="footer"/>
    <w:basedOn w:val="Normal"/>
    <w:link w:val="SidefodTegn"/>
    <w:uiPriority w:val="99"/>
    <w:unhideWhenUsed/>
    <w:rsid w:val="00366C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66CC4"/>
  </w:style>
  <w:style w:type="paragraph" w:styleId="Ingenafstand">
    <w:name w:val="No Spacing"/>
    <w:link w:val="IngenafstandTegn"/>
    <w:uiPriority w:val="1"/>
    <w:qFormat/>
    <w:rsid w:val="000D6B9E"/>
    <w:pPr>
      <w:spacing w:after="0" w:line="240" w:lineRule="auto"/>
    </w:pPr>
    <w:rPr>
      <w:rFonts w:asciiTheme="minorHAnsi" w:eastAsiaTheme="minorEastAsia" w:hAnsiTheme="minorHAnsi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0D6B9E"/>
    <w:rPr>
      <w:rFonts w:asciiTheme="minorHAnsi" w:eastAsiaTheme="minorEastAsia" w:hAnsiTheme="minorHAnsi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6B9E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CA5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3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0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7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6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2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36658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2" w:space="13" w:color="C7C3BB"/>
                                    <w:left w:val="single" w:sz="2" w:space="13" w:color="C7C3BB"/>
                                    <w:bottom w:val="single" w:sz="2" w:space="13" w:color="C7C3BB"/>
                                    <w:right w:val="single" w:sz="2" w:space="13" w:color="C7C3BB"/>
                                  </w:divBdr>
                                  <w:divsChild>
                                    <w:div w:id="7124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73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16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CB3F23"/>
                                                <w:left w:val="none" w:sz="0" w:space="0" w:color="auto"/>
                                                <w:bottom w:val="single" w:sz="6" w:space="4" w:color="CB3F23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8812f043-c42c-46ad-bbd1-24acec8b3977" xsi:nil="true"/>
    <lcf76f155ced4ddcb4097134ff3c332f xmlns="685156a5-b107-4cbb-a8b8-d9d5f2dfb5a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B64348F7C67A4FA03103E474846E13" ma:contentTypeVersion="10" ma:contentTypeDescription="Opret et nyt dokument." ma:contentTypeScope="" ma:versionID="7e86c2578f37b0be15c38f9d1e80ba9e">
  <xsd:schema xmlns:xsd="http://www.w3.org/2001/XMLSchema" xmlns:xs="http://www.w3.org/2001/XMLSchema" xmlns:p="http://schemas.microsoft.com/office/2006/metadata/properties" xmlns:ns2="685156a5-b107-4cbb-a8b8-d9d5f2dfb5a2" xmlns:ns3="8812f043-c42c-46ad-bbd1-24acec8b3977" targetNamespace="http://schemas.microsoft.com/office/2006/metadata/properties" ma:root="true" ma:fieldsID="f9c860cc5185e2d43eb6d9048f944f49" ns2:_="" ns3:_="">
    <xsd:import namespace="685156a5-b107-4cbb-a8b8-d9d5f2dfb5a2"/>
    <xsd:import namespace="8812f043-c42c-46ad-bbd1-24acec8b3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156a5-b107-4cbb-a8b8-d9d5f2df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displayName="Billedmærker_0" ma:hidden="true" ma:internalName="lcf76f155ced4ddcb4097134ff3c332f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2f043-c42c-46ad-bbd1-24acec8b39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8060a19-8d6c-4dd7-9e27-9442fdb61a6c}" ma:internalName="TaxCatchAll" ma:showField="CatchAllData" ma:web="a6356e88-d58b-475d-b982-e6362ec48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7C1CBB-7D9A-462C-814E-926140C246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6ACD5-4E9C-4627-B4AA-9C567F12C7E1}">
  <ds:schemaRefs>
    <ds:schemaRef ds:uri="http://purl.org/dc/terms/"/>
    <ds:schemaRef ds:uri="http://schemas.microsoft.com/office/2006/documentManagement/types"/>
    <ds:schemaRef ds:uri="94345879-4f9c-4136-a345-ee195ea48f1a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CB6F7CB-42A7-478A-A095-20CBDA7F11BF}"/>
</file>

<file path=customXml/itemProps5.xml><?xml version="1.0" encoding="utf-8"?>
<ds:datastoreItem xmlns:ds="http://schemas.openxmlformats.org/officeDocument/2006/customXml" ds:itemID="{77AD57A7-51F5-42DD-84D4-B0774FFD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A903DD26.dotm</Template>
  <TotalTime>0</TotalTime>
  <Pages>1</Pages>
  <Words>402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Jørgensen</dc:creator>
  <cp:lastModifiedBy>Niels Strange</cp:lastModifiedBy>
  <cp:revision>2</cp:revision>
  <cp:lastPrinted>2012-01-25T07:52:00Z</cp:lastPrinted>
  <dcterms:created xsi:type="dcterms:W3CDTF">2014-06-17T12:36:00Z</dcterms:created>
  <dcterms:modified xsi:type="dcterms:W3CDTF">2014-06-17T12:36:00Z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943094888</vt:i4>
  </property>
  <property fmtid="{D5CDD505-2E9C-101B-9397-08002B2CF9AE}" pid="4" name="_EmailSubject">
    <vt:lpwstr>KSAM - materiale</vt:lpwstr>
  </property>
  <property fmtid="{D5CDD505-2E9C-101B-9397-08002B2CF9AE}" pid="5" name="_AuthorEmail">
    <vt:lpwstr>nst@danskbyggeri.dk</vt:lpwstr>
  </property>
  <property fmtid="{D5CDD505-2E9C-101B-9397-08002B2CF9AE}" pid="6" name="_AuthorEmailDisplayName">
    <vt:lpwstr>Niels Strange</vt:lpwstr>
  </property>
  <property fmtid="{D5CDD505-2E9C-101B-9397-08002B2CF9AE}" pid="7" name="_ReviewingToolsShownOnce">
    <vt:lpwstr/>
  </property>
  <property fmtid="{D5CDD505-2E9C-101B-9397-08002B2CF9AE}" pid="8" name="ContentTypeId">
    <vt:lpwstr>0x010100EFB64348F7C67A4FA03103E474846E13</vt:lpwstr>
  </property>
</Properties>
</file>